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F" w:rsidRPr="00E2228F" w:rsidRDefault="00E2228F" w:rsidP="00E2228F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E2228F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Образовательный процесс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5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 xml:space="preserve">Поддержка инициативы </w:t>
        </w:r>
        <w:proofErr w:type="spellStart"/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детей</w:t>
        </w:r>
        <w:proofErr w:type="gramStart"/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.О</w:t>
        </w:r>
        <w:proofErr w:type="gramEnd"/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собенности</w:t>
        </w:r>
        <w:proofErr w:type="spellEnd"/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 xml:space="preserve"> реализации воспитательного процесса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6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Игра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7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Проектно-тематическая деятельность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8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Строительство и конструирование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9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Самообслуживание и элементарный бытовой труд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10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Использование информационных технологий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11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Структурирование образовательного процесса</w:t>
        </w:r>
      </w:hyperlink>
    </w:p>
    <w:p w:rsidR="00E2228F" w:rsidRPr="00E2228F" w:rsidRDefault="00E2228F" w:rsidP="00E2228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28F" w:rsidRPr="00E2228F" w:rsidRDefault="00E2228F" w:rsidP="00E2228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12" w:history="1">
        <w:r w:rsidRPr="00E2228F">
          <w:rPr>
            <w:rFonts w:ascii="Tahoma" w:eastAsia="Times New Roman" w:hAnsi="Tahoma" w:cs="Tahoma"/>
            <w:color w:val="007AD0"/>
            <w:sz w:val="19"/>
            <w:lang w:eastAsia="ru-RU"/>
          </w:rPr>
          <w:t>Индивидуализация образовательного процесса</w:t>
        </w:r>
      </w:hyperlink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 конструировании своей оптимальной модели воспитательно-образовательного процесса для детей дошкольного возраста мы использовали положительные стороны комплексно-тематической и предметно-средовой моделей, в которых обозначена партнерская ненавязчивая позиция воспитателя (взрослого), разнообразие детской активности, свободный выбор предметного материала. </w:t>
      </w:r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Основные тезисы:</w:t>
      </w:r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включенность воспитателя в деятельность наравне с детьми;</w:t>
      </w:r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-добровольное присоединение детей к деятельности (без психического и дисциплинарного принуждения);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E2228F" w:rsidRPr="00E2228F" w:rsidRDefault="00E2228F" w:rsidP="00E2228F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открытый временной конец образовательной деятельности (каждый работает в своем темпе).</w:t>
      </w:r>
    </w:p>
    <w:p w:rsidR="00E2228F" w:rsidRPr="00E2228F" w:rsidRDefault="00E2228F" w:rsidP="00E2228F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2228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Ежедневно мы учитываем время для совместных игр взрослых с детьми, причем инициатива в этих играх должна принадлежать воспитанникам, а педагогам следует ее всячески поощрять. Также в режиме дня  предусмотрено время для проведения профилактических мероприятий, релаксационных и музыкальных пауз.</w:t>
      </w:r>
    </w:p>
    <w:p w:rsidR="00775E4E" w:rsidRDefault="00775E4E"/>
    <w:sectPr w:rsidR="00775E4E" w:rsidSect="007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DD9"/>
    <w:multiLevelType w:val="multilevel"/>
    <w:tmpl w:val="EE1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28F"/>
    <w:rsid w:val="00775E4E"/>
    <w:rsid w:val="00E2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E"/>
  </w:style>
  <w:style w:type="paragraph" w:styleId="1">
    <w:name w:val="heading 1"/>
    <w:basedOn w:val="a"/>
    <w:link w:val="10"/>
    <w:uiPriority w:val="9"/>
    <w:qFormat/>
    <w:rsid w:val="00E2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E2228F"/>
  </w:style>
  <w:style w:type="paragraph" w:styleId="a3">
    <w:name w:val="Normal (Web)"/>
    <w:basedOn w:val="a"/>
    <w:uiPriority w:val="99"/>
    <w:semiHidden/>
    <w:unhideWhenUsed/>
    <w:rsid w:val="00E2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42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8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13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87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?section_id=310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g49.tvoysadik.ru/?section_id=308" TargetMode="External"/><Relationship Id="rId12" Type="http://schemas.openxmlformats.org/officeDocument/2006/relationships/hyperlink" Target="https://dg49.tvoysadik.ru/?section_id=3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?section_id=307" TargetMode="External"/><Relationship Id="rId11" Type="http://schemas.openxmlformats.org/officeDocument/2006/relationships/hyperlink" Target="https://dg49.tvoysadik.ru/?section_id=313" TargetMode="External"/><Relationship Id="rId5" Type="http://schemas.openxmlformats.org/officeDocument/2006/relationships/hyperlink" Target="https://dg49.tvoysadik.ru/?section_id=3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g49.tvoysadik.ru/?section_id=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49.tvoysadik.ru/?section_id=31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2022-11-19T15:34:00Z</dcterms:created>
  <dcterms:modified xsi:type="dcterms:W3CDTF">2022-11-19T15:34:00Z</dcterms:modified>
</cp:coreProperties>
</file>